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CE6B" w14:textId="64BD7A92" w:rsidR="003B70A2" w:rsidRPr="003B70A2" w:rsidRDefault="003B70A2" w:rsidP="003B70A2">
      <w:pPr>
        <w:pStyle w:val="MetadataBlock"/>
        <w:spacing w:before="0" w:after="0"/>
        <w:rPr>
          <w:rFonts w:cstheme="majorHAnsi"/>
        </w:rPr>
      </w:pPr>
      <w:r w:rsidRPr="003B70A2">
        <w:rPr>
          <w:rFonts w:cstheme="majorHAnsi"/>
        </w:rPr>
        <w:t xml:space="preserve">Author | </w:t>
      </w:r>
      <w:r>
        <w:rPr>
          <w:rFonts w:cstheme="majorHAnsi"/>
        </w:rPr>
        <w:t xml:space="preserve">Matthew Nolan </w:t>
      </w:r>
    </w:p>
    <w:p w14:paraId="2D11AA8D" w14:textId="6590D81C" w:rsidR="003B70A2" w:rsidRPr="003B70A2" w:rsidRDefault="003B70A2" w:rsidP="003B70A2">
      <w:pPr>
        <w:pStyle w:val="MetadataBlock"/>
        <w:spacing w:before="0" w:after="0"/>
        <w:rPr>
          <w:rFonts w:cstheme="majorHAnsi"/>
        </w:rPr>
      </w:pPr>
      <w:r w:rsidRPr="003B70A2">
        <w:rPr>
          <w:rFonts w:cstheme="majorHAnsi"/>
        </w:rPr>
        <w:t xml:space="preserve">Contributors | </w:t>
      </w:r>
    </w:p>
    <w:p w14:paraId="19C8A83C" w14:textId="77777777" w:rsidR="003B70A2" w:rsidRPr="003B70A2" w:rsidRDefault="003B70A2" w:rsidP="003B70A2">
      <w:pPr>
        <w:pStyle w:val="MetadataBlock"/>
        <w:spacing w:before="0" w:after="0"/>
        <w:rPr>
          <w:rFonts w:cstheme="majorHAnsi"/>
        </w:rPr>
      </w:pPr>
      <w:r w:rsidRPr="003B70A2">
        <w:rPr>
          <w:rFonts w:cstheme="majorHAnsi"/>
        </w:rPr>
        <w:t xml:space="preserve">Version | </w:t>
      </w:r>
      <w:sdt>
        <w:sdtPr>
          <w:rPr>
            <w:rFonts w:cstheme="majorHAnsi"/>
          </w:rPr>
          <w:alias w:val="Version (for Word)"/>
          <w:tag w:val="VersionForWord"/>
          <w:id w:val="-947306228"/>
          <w:dataBinding w:prefixMappings="xmlns:ns0='http://schemas.microsoft.com/office/2006/metadata/properties' xmlns:ns1='http://www.w3.org/2001/XMLSchema-instance' xmlns:ns2='http://schemas.microsoft.com/office/infopath/2007/PartnerControls' xmlns:ns3='http://schemas.microsoft.com/sharepoint/v3/fields' xmlns:ns4='ee81b18c-6041-4658-a4d7-24b62847c53e' " w:xpath="/ns0:properties[1]/documentManagement[1]/ns4:VersionForWord[1]" w:storeItemID="{8DCD4E03-7384-4926-8311-D7816AACA326}"/>
          <w:text/>
        </w:sdtPr>
        <w:sdtContent>
          <w:r w:rsidRPr="003B70A2">
            <w:rPr>
              <w:rFonts w:cstheme="majorHAnsi"/>
            </w:rPr>
            <w:t>1</w:t>
          </w:r>
        </w:sdtContent>
      </w:sdt>
    </w:p>
    <w:p w14:paraId="41EAC470" w14:textId="4F6616A5" w:rsidR="003B70A2" w:rsidRPr="003B70A2" w:rsidRDefault="003B70A2" w:rsidP="003B70A2">
      <w:pPr>
        <w:pStyle w:val="MetadataBlock"/>
        <w:spacing w:before="0" w:after="0"/>
        <w:rPr>
          <w:rFonts w:cstheme="majorHAnsi"/>
        </w:rPr>
      </w:pPr>
      <w:r w:rsidRPr="003B70A2">
        <w:rPr>
          <w:rFonts w:cstheme="majorHAnsi"/>
        </w:rPr>
        <w:t xml:space="preserve">Pages | </w:t>
      </w:r>
      <w:r>
        <w:rPr>
          <w:rFonts w:cstheme="majorHAnsi"/>
        </w:rPr>
        <w:t>3</w:t>
      </w:r>
    </w:p>
    <w:p w14:paraId="667ED0D4" w14:textId="77777777" w:rsidR="003B70A2" w:rsidRPr="003B70A2" w:rsidRDefault="003B70A2" w:rsidP="003B70A2">
      <w:pPr>
        <w:pStyle w:val="MetadataBlock"/>
        <w:spacing w:before="0" w:after="0"/>
        <w:rPr>
          <w:rFonts w:cstheme="majorHAnsi"/>
        </w:rPr>
      </w:pPr>
      <w:r w:rsidRPr="003B70A2">
        <w:rPr>
          <w:rFonts w:cstheme="majorHAnsi"/>
        </w:rPr>
        <w:t>Publication Date | Autumn 2025</w:t>
      </w:r>
    </w:p>
    <w:p w14:paraId="2A1E548C" w14:textId="2DE861B0" w:rsidR="003B70A2" w:rsidRDefault="003B70A2" w:rsidP="003B70A2">
      <w:pPr>
        <w:pStyle w:val="MetadataBlock"/>
        <w:spacing w:before="0" w:after="0"/>
        <w:rPr>
          <w:rFonts w:cstheme="majorHAnsi"/>
        </w:rPr>
      </w:pPr>
      <w:r w:rsidRPr="003B70A2">
        <w:rPr>
          <w:rFonts w:cstheme="majorHAnsi"/>
        </w:rPr>
        <w:t>Next Review Date | Autumn 202</w:t>
      </w:r>
      <w:r>
        <w:rPr>
          <w:rFonts w:cstheme="majorHAnsi"/>
        </w:rPr>
        <w:t>8</w:t>
      </w:r>
    </w:p>
    <w:p w14:paraId="64CC551E" w14:textId="77777777" w:rsidR="00BB664F" w:rsidRDefault="00BB664F" w:rsidP="003B70A2">
      <w:pPr>
        <w:pStyle w:val="MetadataBlock"/>
        <w:spacing w:before="0" w:after="0"/>
        <w:rPr>
          <w:rFonts w:cstheme="majorHAnsi"/>
        </w:rPr>
      </w:pPr>
    </w:p>
    <w:p w14:paraId="6E84D005" w14:textId="2ACCC4B4" w:rsidR="00BB664F" w:rsidRPr="003B70A2" w:rsidRDefault="00BB664F" w:rsidP="003B70A2">
      <w:pPr>
        <w:pStyle w:val="MetadataBlock"/>
        <w:spacing w:before="0" w:after="0"/>
        <w:rPr>
          <w:rFonts w:cstheme="majorHAnsi"/>
        </w:rPr>
      </w:pPr>
      <w:r>
        <w:rPr>
          <w:rFonts w:cstheme="majorHAnsi"/>
        </w:rPr>
        <w:t>ACCESSIBILITY PLAN</w:t>
      </w:r>
      <w:r w:rsidR="00C62E7B">
        <w:rPr>
          <w:rFonts w:cstheme="majorHAnsi"/>
        </w:rPr>
        <w:t xml:space="preserve"> &amp; POLICY</w:t>
      </w:r>
    </w:p>
    <w:p w14:paraId="27EFCEE5" w14:textId="77777777" w:rsidR="00BB664F" w:rsidRPr="003B70A2" w:rsidRDefault="00BB664F" w:rsidP="003B70A2">
      <w:pPr>
        <w:pStyle w:val="MetadataBlock"/>
        <w:spacing w:before="0" w:after="0"/>
        <w:rPr>
          <w:rFonts w:cstheme="majorHAnsi"/>
        </w:rPr>
      </w:pPr>
    </w:p>
    <w:tbl>
      <w:tblPr>
        <w:tblStyle w:val="TableGrid"/>
        <w:tblpPr w:leftFromText="181" w:rightFromText="181" w:vertAnchor="text" w:horzAnchor="margin" w:tblpXSpec="center" w:tblpY="-3"/>
        <w:tblW w:w="66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1153"/>
        <w:gridCol w:w="1152"/>
        <w:gridCol w:w="1152"/>
        <w:gridCol w:w="1152"/>
        <w:gridCol w:w="1152"/>
        <w:gridCol w:w="1152"/>
        <w:gridCol w:w="1152"/>
        <w:gridCol w:w="1152"/>
        <w:gridCol w:w="1152"/>
        <w:gridCol w:w="571"/>
      </w:tblGrid>
      <w:tr w:rsidR="00377FAF" w:rsidRPr="00941A2C" w14:paraId="000DAF01" w14:textId="77777777" w:rsidTr="00377FAF">
        <w:trPr>
          <w:trHeight w:hRule="exact" w:val="275"/>
        </w:trPr>
        <w:tc>
          <w:tcPr>
            <w:tcW w:w="252" w:type="pct"/>
            <w:shd w:val="clear" w:color="auto" w:fill="00AEEF"/>
          </w:tcPr>
          <w:p w14:paraId="5CBB2D6F" w14:textId="77777777" w:rsidR="00377FAF" w:rsidRPr="00941A2C" w:rsidRDefault="00377FAF" w:rsidP="00377FAF"/>
        </w:tc>
        <w:tc>
          <w:tcPr>
            <w:tcW w:w="500" w:type="pct"/>
            <w:shd w:val="clear" w:color="auto" w:fill="662D91"/>
          </w:tcPr>
          <w:p w14:paraId="13CAED85" w14:textId="77777777" w:rsidR="00377FAF" w:rsidRPr="00941A2C" w:rsidRDefault="00377FAF" w:rsidP="00377FAF"/>
        </w:tc>
        <w:tc>
          <w:tcPr>
            <w:tcW w:w="500" w:type="pct"/>
            <w:shd w:val="clear" w:color="auto" w:fill="F7941D"/>
          </w:tcPr>
          <w:p w14:paraId="6B06B3E5" w14:textId="77777777" w:rsidR="00377FAF" w:rsidRPr="00941A2C" w:rsidRDefault="00377FAF" w:rsidP="00377FAF"/>
        </w:tc>
        <w:tc>
          <w:tcPr>
            <w:tcW w:w="500" w:type="pct"/>
            <w:shd w:val="clear" w:color="auto" w:fill="00AA52"/>
          </w:tcPr>
          <w:p w14:paraId="7B305B50" w14:textId="77777777" w:rsidR="00377FAF" w:rsidRPr="00941A2C" w:rsidRDefault="00377FAF" w:rsidP="00377FAF"/>
        </w:tc>
        <w:tc>
          <w:tcPr>
            <w:tcW w:w="500" w:type="pct"/>
            <w:shd w:val="clear" w:color="auto" w:fill="FDB913"/>
          </w:tcPr>
          <w:p w14:paraId="092C0779" w14:textId="77777777" w:rsidR="00377FAF" w:rsidRPr="00941A2C" w:rsidRDefault="00377FAF" w:rsidP="00377FAF">
            <w:pPr>
              <w:jc w:val="center"/>
            </w:pPr>
          </w:p>
        </w:tc>
        <w:tc>
          <w:tcPr>
            <w:tcW w:w="500" w:type="pct"/>
            <w:shd w:val="clear" w:color="auto" w:fill="ED1C24"/>
          </w:tcPr>
          <w:p w14:paraId="792766B9" w14:textId="77777777" w:rsidR="00377FAF" w:rsidRPr="00941A2C" w:rsidRDefault="00377FAF" w:rsidP="00377FAF"/>
        </w:tc>
        <w:tc>
          <w:tcPr>
            <w:tcW w:w="500" w:type="pct"/>
            <w:shd w:val="clear" w:color="auto" w:fill="009DA5"/>
          </w:tcPr>
          <w:p w14:paraId="779CC921" w14:textId="77777777" w:rsidR="00377FAF" w:rsidRPr="00941A2C" w:rsidRDefault="00377FAF" w:rsidP="00377FAF"/>
        </w:tc>
        <w:tc>
          <w:tcPr>
            <w:tcW w:w="500" w:type="pct"/>
            <w:shd w:val="clear" w:color="auto" w:fill="9DCC50"/>
          </w:tcPr>
          <w:p w14:paraId="54DCF5FE" w14:textId="77777777" w:rsidR="00377FAF" w:rsidRPr="00941A2C" w:rsidRDefault="00377FAF" w:rsidP="00377FAF"/>
        </w:tc>
        <w:tc>
          <w:tcPr>
            <w:tcW w:w="500" w:type="pct"/>
            <w:shd w:val="clear" w:color="auto" w:fill="EC008C"/>
          </w:tcPr>
          <w:p w14:paraId="3BD5E69E" w14:textId="77777777" w:rsidR="00377FAF" w:rsidRPr="00941A2C" w:rsidRDefault="00377FAF" w:rsidP="00377FAF"/>
        </w:tc>
        <w:tc>
          <w:tcPr>
            <w:tcW w:w="500" w:type="pct"/>
            <w:shd w:val="clear" w:color="auto" w:fill="00AEEF"/>
          </w:tcPr>
          <w:p w14:paraId="17FD10F8" w14:textId="77777777" w:rsidR="00377FAF" w:rsidRPr="00941A2C" w:rsidRDefault="00377FAF" w:rsidP="00377FAF"/>
        </w:tc>
        <w:tc>
          <w:tcPr>
            <w:tcW w:w="249" w:type="pct"/>
            <w:shd w:val="clear" w:color="auto" w:fill="662D91"/>
          </w:tcPr>
          <w:p w14:paraId="6280BE34" w14:textId="77777777" w:rsidR="00377FAF" w:rsidRPr="00941A2C" w:rsidRDefault="00377FAF" w:rsidP="00377FAF"/>
        </w:tc>
      </w:tr>
    </w:tbl>
    <w:p w14:paraId="503BAB7A" w14:textId="720C831A" w:rsidR="005B1732" w:rsidRPr="00666A10" w:rsidRDefault="00C62E7B">
      <w:pPr>
        <w:pStyle w:val="Heading1"/>
        <w:rPr>
          <w:rFonts w:cstheme="majorHAnsi"/>
          <w:color w:val="auto"/>
        </w:rPr>
      </w:pPr>
      <w:r w:rsidRPr="00666A10">
        <w:rPr>
          <w:rFonts w:cstheme="majorHAnsi"/>
          <w:color w:val="auto"/>
        </w:rPr>
        <w:t>1. Introduction</w:t>
      </w:r>
    </w:p>
    <w:p w14:paraId="1C2E41FC" w14:textId="77777777" w:rsidR="005B1732" w:rsidRDefault="00C62E7B">
      <w:pPr>
        <w:rPr>
          <w:rFonts w:asciiTheme="majorHAnsi" w:hAnsiTheme="majorHAnsi" w:cstheme="majorHAnsi"/>
        </w:rPr>
      </w:pPr>
      <w:r w:rsidRPr="00666A10">
        <w:rPr>
          <w:rFonts w:asciiTheme="majorHAnsi" w:hAnsiTheme="majorHAnsi" w:cstheme="majorHAnsi"/>
        </w:rPr>
        <w:t>Richard Huish College is committed to ensuring equality of opportunity for all students, staff, and visitors. This Accessibility Plan outlines how the College will improve access to the physical environment, the curriculum, and information for students with disabilities or additional needs.</w:t>
      </w:r>
    </w:p>
    <w:p w14:paraId="4075131D" w14:textId="78C45368" w:rsidR="00D34B29" w:rsidRPr="008E2E41" w:rsidRDefault="00584AE5">
      <w:pPr>
        <w:pStyle w:val="Heading1"/>
        <w:rPr>
          <w:rFonts w:eastAsiaTheme="minorEastAsia" w:cstheme="majorHAnsi"/>
          <w:b w:val="0"/>
          <w:bCs w:val="0"/>
          <w:color w:val="auto"/>
          <w:sz w:val="22"/>
          <w:szCs w:val="22"/>
        </w:rPr>
      </w:pPr>
      <w:r w:rsidRPr="008E2E41">
        <w:rPr>
          <w:rFonts w:eastAsiaTheme="minorEastAsia" w:cstheme="majorHAnsi"/>
          <w:b w:val="0"/>
          <w:bCs w:val="0"/>
          <w:color w:val="auto"/>
          <w:sz w:val="22"/>
          <w:szCs w:val="22"/>
        </w:rPr>
        <w:t xml:space="preserve">The college is dedicated to actively promoting </w:t>
      </w:r>
      <w:r w:rsidR="008623B4" w:rsidRPr="008E2E41">
        <w:rPr>
          <w:rFonts w:eastAsiaTheme="minorEastAsia" w:cstheme="majorHAnsi"/>
          <w:b w:val="0"/>
          <w:bCs w:val="0"/>
          <w:color w:val="auto"/>
          <w:sz w:val="22"/>
          <w:szCs w:val="22"/>
        </w:rPr>
        <w:t>its</w:t>
      </w:r>
      <w:r w:rsidRPr="008E2E41">
        <w:rPr>
          <w:rFonts w:eastAsiaTheme="minorEastAsia" w:cstheme="majorHAnsi"/>
          <w:b w:val="0"/>
          <w:bCs w:val="0"/>
          <w:color w:val="auto"/>
          <w:sz w:val="22"/>
          <w:szCs w:val="22"/>
        </w:rPr>
        <w:t xml:space="preserve"> Accessibility Plan to ensure that students receive the support they need both in and beyond the classroom. </w:t>
      </w:r>
      <w:r w:rsidR="0098614A" w:rsidRPr="008E2E41">
        <w:rPr>
          <w:rFonts w:eastAsiaTheme="minorEastAsia" w:cstheme="majorHAnsi"/>
          <w:b w:val="0"/>
          <w:bCs w:val="0"/>
          <w:color w:val="auto"/>
          <w:sz w:val="22"/>
          <w:szCs w:val="22"/>
        </w:rPr>
        <w:t>Information relating to the</w:t>
      </w:r>
      <w:r w:rsidRPr="008E2E41">
        <w:rPr>
          <w:rFonts w:eastAsiaTheme="minorEastAsia" w:cstheme="majorHAnsi"/>
          <w:b w:val="0"/>
          <w:bCs w:val="0"/>
          <w:color w:val="auto"/>
          <w:sz w:val="22"/>
          <w:szCs w:val="22"/>
        </w:rPr>
        <w:t xml:space="preserve"> plan will be shared during college open events, information, advice and guidance meetings, and throughout the enrolment process with all prospective students and their parents or carer</w:t>
      </w:r>
      <w:r w:rsidR="000F6D15" w:rsidRPr="008E2E41">
        <w:rPr>
          <w:rFonts w:eastAsiaTheme="minorEastAsia" w:cstheme="majorHAnsi"/>
          <w:b w:val="0"/>
          <w:bCs w:val="0"/>
          <w:color w:val="auto"/>
          <w:sz w:val="22"/>
          <w:szCs w:val="22"/>
        </w:rPr>
        <w:t>s.</w:t>
      </w:r>
    </w:p>
    <w:p w14:paraId="35A63225" w14:textId="3F411FFD" w:rsidR="005B1732" w:rsidRPr="00666A10" w:rsidRDefault="00C62E7B">
      <w:pPr>
        <w:pStyle w:val="Heading1"/>
        <w:rPr>
          <w:rFonts w:cstheme="majorHAnsi"/>
          <w:color w:val="auto"/>
        </w:rPr>
      </w:pPr>
      <w:r w:rsidRPr="00666A10">
        <w:rPr>
          <w:rFonts w:cstheme="majorHAnsi"/>
          <w:color w:val="auto"/>
        </w:rPr>
        <w:t>2. Legal Framework</w:t>
      </w:r>
    </w:p>
    <w:p w14:paraId="43DE87DD" w14:textId="77777777" w:rsidR="005B1732" w:rsidRPr="00666A10" w:rsidRDefault="00C62E7B">
      <w:pPr>
        <w:rPr>
          <w:rFonts w:asciiTheme="majorHAnsi" w:hAnsiTheme="majorHAnsi" w:cstheme="majorHAnsi"/>
        </w:rPr>
      </w:pPr>
      <w:r w:rsidRPr="00666A10">
        <w:rPr>
          <w:rFonts w:asciiTheme="majorHAnsi" w:hAnsiTheme="majorHAnsi" w:cstheme="majorHAnsi"/>
        </w:rPr>
        <w:t>This plan is written in accordance with:</w:t>
      </w:r>
      <w:r w:rsidRPr="00666A10">
        <w:rPr>
          <w:rFonts w:asciiTheme="majorHAnsi" w:hAnsiTheme="majorHAnsi" w:cstheme="majorHAnsi"/>
        </w:rPr>
        <w:br/>
        <w:t>- The Equality Act 2010</w:t>
      </w:r>
      <w:r w:rsidRPr="00666A10">
        <w:rPr>
          <w:rFonts w:asciiTheme="majorHAnsi" w:hAnsiTheme="majorHAnsi" w:cstheme="majorHAnsi"/>
        </w:rPr>
        <w:br/>
        <w:t>- The SEND Code of Practice (2015)</w:t>
      </w:r>
      <w:r w:rsidRPr="00666A10">
        <w:rPr>
          <w:rFonts w:asciiTheme="majorHAnsi" w:hAnsiTheme="majorHAnsi" w:cstheme="majorHAnsi"/>
        </w:rPr>
        <w:br/>
        <w:t>- The Children and Families Act 2014</w:t>
      </w:r>
      <w:r w:rsidRPr="00666A10">
        <w:rPr>
          <w:rFonts w:asciiTheme="majorHAnsi" w:hAnsiTheme="majorHAnsi" w:cstheme="majorHAnsi"/>
        </w:rPr>
        <w:br/>
        <w:t>- The Public Sector Equality Duty</w:t>
      </w:r>
    </w:p>
    <w:p w14:paraId="4B0EFBA2" w14:textId="77777777" w:rsidR="005B1732" w:rsidRPr="00666A10" w:rsidRDefault="00C62E7B">
      <w:pPr>
        <w:pStyle w:val="Heading1"/>
        <w:rPr>
          <w:rFonts w:cstheme="majorHAnsi"/>
          <w:color w:val="auto"/>
        </w:rPr>
      </w:pPr>
      <w:r w:rsidRPr="00666A10">
        <w:rPr>
          <w:rFonts w:cstheme="majorHAnsi"/>
          <w:color w:val="auto"/>
        </w:rPr>
        <w:t>3. Aims of the Plan</w:t>
      </w:r>
    </w:p>
    <w:p w14:paraId="18D8413B" w14:textId="77777777" w:rsidR="005B1732" w:rsidRPr="00666A10" w:rsidRDefault="00C62E7B">
      <w:pPr>
        <w:rPr>
          <w:rFonts w:asciiTheme="majorHAnsi" w:hAnsiTheme="majorHAnsi" w:cstheme="majorHAnsi"/>
        </w:rPr>
      </w:pPr>
      <w:r w:rsidRPr="00666A10">
        <w:rPr>
          <w:rFonts w:asciiTheme="majorHAnsi" w:hAnsiTheme="majorHAnsi" w:cstheme="majorHAnsi"/>
        </w:rPr>
        <w:t>- To increase the extent to which disabled students can participate in the curriculum.</w:t>
      </w:r>
      <w:r w:rsidRPr="00666A10">
        <w:rPr>
          <w:rFonts w:asciiTheme="majorHAnsi" w:hAnsiTheme="majorHAnsi" w:cstheme="majorHAnsi"/>
        </w:rPr>
        <w:br/>
        <w:t>- To improve the physical environment of the College to enable better access for all.</w:t>
      </w:r>
      <w:r w:rsidRPr="00666A10">
        <w:rPr>
          <w:rFonts w:asciiTheme="majorHAnsi" w:hAnsiTheme="majorHAnsi" w:cstheme="majorHAnsi"/>
        </w:rPr>
        <w:br/>
        <w:t>- To improve the availability of accessible information for students and stakeholders.</w:t>
      </w:r>
    </w:p>
    <w:p w14:paraId="3B4B43EF" w14:textId="77777777" w:rsidR="005B1732" w:rsidRPr="00666A10" w:rsidRDefault="00C62E7B">
      <w:pPr>
        <w:pStyle w:val="Heading1"/>
        <w:rPr>
          <w:rFonts w:cstheme="majorHAnsi"/>
          <w:color w:val="auto"/>
        </w:rPr>
      </w:pPr>
      <w:r w:rsidRPr="00666A10">
        <w:rPr>
          <w:rFonts w:cstheme="majorHAnsi"/>
          <w:color w:val="auto"/>
        </w:rPr>
        <w:t>4. Current Context</w:t>
      </w:r>
    </w:p>
    <w:p w14:paraId="5179F6F3" w14:textId="395AB121" w:rsidR="005B1732" w:rsidRPr="00666A10" w:rsidRDefault="00C62E7B">
      <w:pPr>
        <w:rPr>
          <w:rFonts w:asciiTheme="majorHAnsi" w:hAnsiTheme="majorHAnsi" w:cstheme="majorHAnsi"/>
        </w:rPr>
      </w:pPr>
      <w:r w:rsidRPr="00666A10">
        <w:rPr>
          <w:rFonts w:asciiTheme="majorHAnsi" w:hAnsiTheme="majorHAnsi" w:cstheme="majorHAnsi"/>
        </w:rPr>
        <w:t>The College supports a diverse student body, including those with physical disabilities, sensory impairments, neurodiverse conditions, and mental health needs. The Learning Support and Wellbeing Teams work collaboratively to provide tailored support. The campus includes accessible buildings, lifts, ramps, and accessible toilets</w:t>
      </w:r>
      <w:r w:rsidR="002338EC">
        <w:rPr>
          <w:rFonts w:asciiTheme="majorHAnsi" w:hAnsiTheme="majorHAnsi" w:cstheme="majorHAnsi"/>
        </w:rPr>
        <w:t>/changing facilities</w:t>
      </w:r>
      <w:r w:rsidRPr="00666A10">
        <w:rPr>
          <w:rFonts w:asciiTheme="majorHAnsi" w:hAnsiTheme="majorHAnsi" w:cstheme="majorHAnsi"/>
        </w:rPr>
        <w:t>.</w:t>
      </w:r>
    </w:p>
    <w:p w14:paraId="4F039AEC" w14:textId="77777777" w:rsidR="005B1732" w:rsidRPr="00666A10" w:rsidRDefault="00C62E7B">
      <w:pPr>
        <w:pStyle w:val="Heading1"/>
        <w:rPr>
          <w:rFonts w:cstheme="majorHAnsi"/>
          <w:color w:val="auto"/>
        </w:rPr>
      </w:pPr>
      <w:r w:rsidRPr="00666A10">
        <w:rPr>
          <w:rFonts w:cstheme="majorHAnsi"/>
          <w:color w:val="auto"/>
        </w:rPr>
        <w:t>5. Objectives and Actions</w:t>
      </w:r>
    </w:p>
    <w:tbl>
      <w:tblPr>
        <w:tblStyle w:val="TableGrid"/>
        <w:tblW w:w="0" w:type="auto"/>
        <w:tblLook w:val="04A0" w:firstRow="1" w:lastRow="0" w:firstColumn="1" w:lastColumn="0" w:noHBand="0" w:noVBand="1"/>
      </w:tblPr>
      <w:tblGrid>
        <w:gridCol w:w="1394"/>
        <w:gridCol w:w="1651"/>
        <w:gridCol w:w="2013"/>
        <w:gridCol w:w="1215"/>
        <w:gridCol w:w="2357"/>
      </w:tblGrid>
      <w:tr w:rsidR="00D46B97" w:rsidRPr="00666A10" w14:paraId="50B4455A" w14:textId="77777777" w:rsidTr="00753040">
        <w:tc>
          <w:tcPr>
            <w:tcW w:w="1399" w:type="dxa"/>
            <w:shd w:val="clear" w:color="auto" w:fill="95B3D7" w:themeFill="accent1" w:themeFillTint="99"/>
          </w:tcPr>
          <w:p w14:paraId="585B36FC" w14:textId="77777777" w:rsidR="005B1732" w:rsidRPr="00753040" w:rsidRDefault="00C62E7B" w:rsidP="00753040">
            <w:pPr>
              <w:jc w:val="center"/>
              <w:rPr>
                <w:rFonts w:asciiTheme="majorHAnsi" w:hAnsiTheme="majorHAnsi" w:cstheme="majorHAnsi"/>
                <w:b/>
                <w:bCs/>
              </w:rPr>
            </w:pPr>
            <w:r w:rsidRPr="00753040">
              <w:rPr>
                <w:rFonts w:asciiTheme="majorHAnsi" w:hAnsiTheme="majorHAnsi" w:cstheme="majorHAnsi"/>
                <w:b/>
                <w:bCs/>
              </w:rPr>
              <w:t>Area</w:t>
            </w:r>
          </w:p>
        </w:tc>
        <w:tc>
          <w:tcPr>
            <w:tcW w:w="1685" w:type="dxa"/>
            <w:shd w:val="clear" w:color="auto" w:fill="95B3D7" w:themeFill="accent1" w:themeFillTint="99"/>
          </w:tcPr>
          <w:p w14:paraId="3E5946ED" w14:textId="77777777" w:rsidR="005B1732" w:rsidRPr="00753040" w:rsidRDefault="00C62E7B" w:rsidP="00753040">
            <w:pPr>
              <w:jc w:val="center"/>
              <w:rPr>
                <w:rFonts w:asciiTheme="majorHAnsi" w:hAnsiTheme="majorHAnsi" w:cstheme="majorHAnsi"/>
                <w:b/>
                <w:bCs/>
              </w:rPr>
            </w:pPr>
            <w:r w:rsidRPr="00753040">
              <w:rPr>
                <w:rFonts w:asciiTheme="majorHAnsi" w:hAnsiTheme="majorHAnsi" w:cstheme="majorHAnsi"/>
                <w:b/>
                <w:bCs/>
              </w:rPr>
              <w:t>Objective</w:t>
            </w:r>
          </w:p>
        </w:tc>
        <w:tc>
          <w:tcPr>
            <w:tcW w:w="2156" w:type="dxa"/>
            <w:shd w:val="clear" w:color="auto" w:fill="95B3D7" w:themeFill="accent1" w:themeFillTint="99"/>
          </w:tcPr>
          <w:p w14:paraId="0202C2B9" w14:textId="77777777" w:rsidR="005B1732" w:rsidRPr="00753040" w:rsidRDefault="00C62E7B" w:rsidP="00753040">
            <w:pPr>
              <w:jc w:val="center"/>
              <w:rPr>
                <w:rFonts w:asciiTheme="majorHAnsi" w:hAnsiTheme="majorHAnsi" w:cstheme="majorHAnsi"/>
                <w:b/>
                <w:bCs/>
              </w:rPr>
            </w:pPr>
            <w:r w:rsidRPr="00753040">
              <w:rPr>
                <w:rFonts w:asciiTheme="majorHAnsi" w:hAnsiTheme="majorHAnsi" w:cstheme="majorHAnsi"/>
                <w:b/>
                <w:bCs/>
              </w:rPr>
              <w:t>Actions</w:t>
            </w:r>
          </w:p>
        </w:tc>
        <w:tc>
          <w:tcPr>
            <w:tcW w:w="1033" w:type="dxa"/>
            <w:shd w:val="clear" w:color="auto" w:fill="95B3D7" w:themeFill="accent1" w:themeFillTint="99"/>
          </w:tcPr>
          <w:p w14:paraId="3EF4F7C4" w14:textId="77777777" w:rsidR="005B1732" w:rsidRPr="00753040" w:rsidRDefault="00C62E7B" w:rsidP="00753040">
            <w:pPr>
              <w:jc w:val="center"/>
              <w:rPr>
                <w:rFonts w:asciiTheme="majorHAnsi" w:hAnsiTheme="majorHAnsi" w:cstheme="majorHAnsi"/>
                <w:b/>
                <w:bCs/>
              </w:rPr>
            </w:pPr>
            <w:r w:rsidRPr="00753040">
              <w:rPr>
                <w:rFonts w:asciiTheme="majorHAnsi" w:hAnsiTheme="majorHAnsi" w:cstheme="majorHAnsi"/>
                <w:b/>
                <w:bCs/>
              </w:rPr>
              <w:t>Timeframe</w:t>
            </w:r>
          </w:p>
        </w:tc>
        <w:tc>
          <w:tcPr>
            <w:tcW w:w="2357" w:type="dxa"/>
            <w:shd w:val="clear" w:color="auto" w:fill="95B3D7" w:themeFill="accent1" w:themeFillTint="99"/>
          </w:tcPr>
          <w:p w14:paraId="56D1FBC3" w14:textId="77777777" w:rsidR="005B1732" w:rsidRPr="00753040" w:rsidRDefault="00C62E7B" w:rsidP="00753040">
            <w:pPr>
              <w:jc w:val="center"/>
              <w:rPr>
                <w:rFonts w:asciiTheme="majorHAnsi" w:hAnsiTheme="majorHAnsi" w:cstheme="majorHAnsi"/>
                <w:b/>
                <w:bCs/>
              </w:rPr>
            </w:pPr>
            <w:r w:rsidRPr="00753040">
              <w:rPr>
                <w:rFonts w:asciiTheme="majorHAnsi" w:hAnsiTheme="majorHAnsi" w:cstheme="majorHAnsi"/>
                <w:b/>
                <w:bCs/>
              </w:rPr>
              <w:t>Responsibility</w:t>
            </w:r>
          </w:p>
        </w:tc>
      </w:tr>
      <w:tr w:rsidR="00D46B97" w:rsidRPr="00666A10" w14:paraId="592999CE" w14:textId="77777777" w:rsidTr="00753040">
        <w:tc>
          <w:tcPr>
            <w:tcW w:w="1399" w:type="dxa"/>
          </w:tcPr>
          <w:p w14:paraId="2ED55B8C" w14:textId="77777777" w:rsidR="005B1732" w:rsidRPr="00666A10" w:rsidRDefault="00C62E7B">
            <w:pPr>
              <w:rPr>
                <w:rFonts w:asciiTheme="majorHAnsi" w:hAnsiTheme="majorHAnsi" w:cstheme="majorHAnsi"/>
              </w:rPr>
            </w:pPr>
            <w:r w:rsidRPr="00666A10">
              <w:rPr>
                <w:rFonts w:asciiTheme="majorHAnsi" w:hAnsiTheme="majorHAnsi" w:cstheme="majorHAnsi"/>
              </w:rPr>
              <w:t>Curriculum Access</w:t>
            </w:r>
          </w:p>
        </w:tc>
        <w:tc>
          <w:tcPr>
            <w:tcW w:w="1685" w:type="dxa"/>
          </w:tcPr>
          <w:p w14:paraId="4A25D922" w14:textId="77777777" w:rsidR="005B1732" w:rsidRPr="00666A10" w:rsidRDefault="00C62E7B">
            <w:pPr>
              <w:rPr>
                <w:rFonts w:asciiTheme="majorHAnsi" w:hAnsiTheme="majorHAnsi" w:cstheme="majorHAnsi"/>
              </w:rPr>
            </w:pPr>
            <w:r w:rsidRPr="00666A10">
              <w:rPr>
                <w:rFonts w:asciiTheme="majorHAnsi" w:hAnsiTheme="majorHAnsi" w:cstheme="majorHAnsi"/>
              </w:rPr>
              <w:t>Ensure all students can access a broad and balanced curriculum</w:t>
            </w:r>
          </w:p>
        </w:tc>
        <w:tc>
          <w:tcPr>
            <w:tcW w:w="2156" w:type="dxa"/>
          </w:tcPr>
          <w:p w14:paraId="2907CDF0" w14:textId="77777777" w:rsidR="005B1732" w:rsidRPr="00666A10" w:rsidRDefault="00C62E7B">
            <w:pPr>
              <w:rPr>
                <w:rFonts w:asciiTheme="majorHAnsi" w:hAnsiTheme="majorHAnsi" w:cstheme="majorHAnsi"/>
              </w:rPr>
            </w:pPr>
            <w:r w:rsidRPr="00666A10">
              <w:rPr>
                <w:rFonts w:asciiTheme="majorHAnsi" w:hAnsiTheme="majorHAnsi" w:cstheme="majorHAnsi"/>
              </w:rPr>
              <w:t>- Provide differentiated teaching and learning strategies</w:t>
            </w:r>
            <w:r w:rsidRPr="00666A10">
              <w:rPr>
                <w:rFonts w:asciiTheme="majorHAnsi" w:hAnsiTheme="majorHAnsi" w:cstheme="majorHAnsi"/>
              </w:rPr>
              <w:br/>
              <w:t>- Use assistive technology</w:t>
            </w:r>
            <w:r w:rsidRPr="00666A10">
              <w:rPr>
                <w:rFonts w:asciiTheme="majorHAnsi" w:hAnsiTheme="majorHAnsi" w:cstheme="majorHAnsi"/>
              </w:rPr>
              <w:br/>
              <w:t>- Offer alternative assessment methods</w:t>
            </w:r>
          </w:p>
        </w:tc>
        <w:tc>
          <w:tcPr>
            <w:tcW w:w="1033" w:type="dxa"/>
          </w:tcPr>
          <w:p w14:paraId="2B7428D6" w14:textId="77777777" w:rsidR="005B1732" w:rsidRPr="00666A10" w:rsidRDefault="00C62E7B">
            <w:pPr>
              <w:rPr>
                <w:rFonts w:asciiTheme="majorHAnsi" w:hAnsiTheme="majorHAnsi" w:cstheme="majorHAnsi"/>
              </w:rPr>
            </w:pPr>
            <w:r w:rsidRPr="00666A10">
              <w:rPr>
                <w:rFonts w:asciiTheme="majorHAnsi" w:hAnsiTheme="majorHAnsi" w:cstheme="majorHAnsi"/>
              </w:rPr>
              <w:t>Ongoing</w:t>
            </w:r>
          </w:p>
        </w:tc>
        <w:tc>
          <w:tcPr>
            <w:tcW w:w="2357" w:type="dxa"/>
          </w:tcPr>
          <w:p w14:paraId="351C2E15" w14:textId="77777777" w:rsidR="005B1732" w:rsidRPr="00666A10" w:rsidRDefault="00955F92">
            <w:pPr>
              <w:rPr>
                <w:rFonts w:asciiTheme="majorHAnsi" w:hAnsiTheme="majorHAnsi" w:cstheme="majorHAnsi"/>
              </w:rPr>
            </w:pPr>
            <w:r w:rsidRPr="00666A10">
              <w:rPr>
                <w:rFonts w:asciiTheme="majorHAnsi" w:hAnsiTheme="majorHAnsi" w:cstheme="majorHAnsi"/>
              </w:rPr>
              <w:t xml:space="preserve">Course Managers/Coordinators </w:t>
            </w:r>
          </w:p>
          <w:p w14:paraId="224F5982" w14:textId="52486CDE" w:rsidR="00955F92" w:rsidRPr="00666A10" w:rsidRDefault="00955F92">
            <w:pPr>
              <w:rPr>
                <w:rFonts w:asciiTheme="majorHAnsi" w:hAnsiTheme="majorHAnsi" w:cstheme="majorHAnsi"/>
              </w:rPr>
            </w:pPr>
            <w:r w:rsidRPr="00666A10">
              <w:rPr>
                <w:rFonts w:asciiTheme="majorHAnsi" w:hAnsiTheme="majorHAnsi" w:cstheme="majorHAnsi"/>
              </w:rPr>
              <w:t>Learning Support Manager</w:t>
            </w:r>
          </w:p>
        </w:tc>
      </w:tr>
      <w:tr w:rsidR="00D46B97" w:rsidRPr="00666A10" w14:paraId="4D509277" w14:textId="77777777" w:rsidTr="00753040">
        <w:tc>
          <w:tcPr>
            <w:tcW w:w="1399" w:type="dxa"/>
          </w:tcPr>
          <w:p w14:paraId="2BFE5BEA" w14:textId="77777777" w:rsidR="005B1732" w:rsidRPr="00666A10" w:rsidRDefault="00C62E7B">
            <w:pPr>
              <w:rPr>
                <w:rFonts w:asciiTheme="majorHAnsi" w:hAnsiTheme="majorHAnsi" w:cstheme="majorHAnsi"/>
              </w:rPr>
            </w:pPr>
            <w:r w:rsidRPr="00666A10">
              <w:rPr>
                <w:rFonts w:asciiTheme="majorHAnsi" w:hAnsiTheme="majorHAnsi" w:cstheme="majorHAnsi"/>
              </w:rPr>
              <w:t>Physical Environment</w:t>
            </w:r>
          </w:p>
        </w:tc>
        <w:tc>
          <w:tcPr>
            <w:tcW w:w="1685" w:type="dxa"/>
          </w:tcPr>
          <w:p w14:paraId="5818DEF2" w14:textId="77777777" w:rsidR="005B1732" w:rsidRPr="00666A10" w:rsidRDefault="00C62E7B">
            <w:pPr>
              <w:rPr>
                <w:rFonts w:asciiTheme="majorHAnsi" w:hAnsiTheme="majorHAnsi" w:cstheme="majorHAnsi"/>
              </w:rPr>
            </w:pPr>
            <w:r w:rsidRPr="00666A10">
              <w:rPr>
                <w:rFonts w:asciiTheme="majorHAnsi" w:hAnsiTheme="majorHAnsi" w:cstheme="majorHAnsi"/>
              </w:rPr>
              <w:t>Improve physical access to all areas of the campus</w:t>
            </w:r>
          </w:p>
        </w:tc>
        <w:tc>
          <w:tcPr>
            <w:tcW w:w="2156" w:type="dxa"/>
          </w:tcPr>
          <w:p w14:paraId="4D2DD9EE" w14:textId="77777777" w:rsidR="005B1732" w:rsidRPr="00666A10" w:rsidRDefault="00C62E7B">
            <w:pPr>
              <w:rPr>
                <w:rFonts w:asciiTheme="majorHAnsi" w:hAnsiTheme="majorHAnsi" w:cstheme="majorHAnsi"/>
              </w:rPr>
            </w:pPr>
            <w:r w:rsidRPr="00666A10">
              <w:rPr>
                <w:rFonts w:asciiTheme="majorHAnsi" w:hAnsiTheme="majorHAnsi" w:cstheme="majorHAnsi"/>
              </w:rPr>
              <w:t>- Conduct annual accessibility audits</w:t>
            </w:r>
            <w:r w:rsidRPr="00666A10">
              <w:rPr>
                <w:rFonts w:asciiTheme="majorHAnsi" w:hAnsiTheme="majorHAnsi" w:cstheme="majorHAnsi"/>
              </w:rPr>
              <w:br/>
              <w:t>- Upgrade signage and lighting</w:t>
            </w:r>
            <w:r w:rsidRPr="00666A10">
              <w:rPr>
                <w:rFonts w:asciiTheme="majorHAnsi" w:hAnsiTheme="majorHAnsi" w:cstheme="majorHAnsi"/>
              </w:rPr>
              <w:br/>
              <w:t>- Ensure all new buildings meet accessibility standards</w:t>
            </w:r>
          </w:p>
        </w:tc>
        <w:tc>
          <w:tcPr>
            <w:tcW w:w="1033" w:type="dxa"/>
          </w:tcPr>
          <w:p w14:paraId="730E6E80" w14:textId="77777777" w:rsidR="005B1732" w:rsidRPr="00666A10" w:rsidRDefault="00C62E7B">
            <w:pPr>
              <w:rPr>
                <w:rFonts w:asciiTheme="majorHAnsi" w:hAnsiTheme="majorHAnsi" w:cstheme="majorHAnsi"/>
              </w:rPr>
            </w:pPr>
            <w:r w:rsidRPr="00666A10">
              <w:rPr>
                <w:rFonts w:asciiTheme="majorHAnsi" w:hAnsiTheme="majorHAnsi" w:cstheme="majorHAnsi"/>
              </w:rPr>
              <w:t>2025–2028</w:t>
            </w:r>
          </w:p>
        </w:tc>
        <w:tc>
          <w:tcPr>
            <w:tcW w:w="2357" w:type="dxa"/>
          </w:tcPr>
          <w:p w14:paraId="799702F5" w14:textId="77777777" w:rsidR="005B1732" w:rsidRPr="00666A10" w:rsidRDefault="00C62E7B">
            <w:pPr>
              <w:rPr>
                <w:rFonts w:asciiTheme="majorHAnsi" w:hAnsiTheme="majorHAnsi" w:cstheme="majorHAnsi"/>
              </w:rPr>
            </w:pPr>
            <w:r w:rsidRPr="00666A10">
              <w:rPr>
                <w:rFonts w:asciiTheme="majorHAnsi" w:hAnsiTheme="majorHAnsi" w:cstheme="majorHAnsi"/>
              </w:rPr>
              <w:t>Estates Manager</w:t>
            </w:r>
          </w:p>
          <w:p w14:paraId="0BB22C0C" w14:textId="2F59F046" w:rsidR="00955F92" w:rsidRPr="00666A10" w:rsidRDefault="00955F92">
            <w:pPr>
              <w:rPr>
                <w:rFonts w:asciiTheme="majorHAnsi" w:hAnsiTheme="majorHAnsi" w:cstheme="majorHAnsi"/>
              </w:rPr>
            </w:pPr>
          </w:p>
        </w:tc>
      </w:tr>
      <w:tr w:rsidR="00D46B97" w:rsidRPr="00666A10" w14:paraId="2DF5AECB" w14:textId="77777777" w:rsidTr="00753040">
        <w:tc>
          <w:tcPr>
            <w:tcW w:w="1399" w:type="dxa"/>
          </w:tcPr>
          <w:p w14:paraId="270FAB5C" w14:textId="77777777" w:rsidR="005B1732" w:rsidRPr="00666A10" w:rsidRDefault="00C62E7B">
            <w:pPr>
              <w:rPr>
                <w:rFonts w:asciiTheme="majorHAnsi" w:hAnsiTheme="majorHAnsi" w:cstheme="majorHAnsi"/>
              </w:rPr>
            </w:pPr>
            <w:r w:rsidRPr="00666A10">
              <w:rPr>
                <w:rFonts w:asciiTheme="majorHAnsi" w:hAnsiTheme="majorHAnsi" w:cstheme="majorHAnsi"/>
              </w:rPr>
              <w:t>Information Access</w:t>
            </w:r>
          </w:p>
        </w:tc>
        <w:tc>
          <w:tcPr>
            <w:tcW w:w="1685" w:type="dxa"/>
          </w:tcPr>
          <w:p w14:paraId="1F2DB0E1" w14:textId="77777777" w:rsidR="005B1732" w:rsidRPr="00666A10" w:rsidRDefault="00C62E7B">
            <w:pPr>
              <w:rPr>
                <w:rFonts w:asciiTheme="majorHAnsi" w:hAnsiTheme="majorHAnsi" w:cstheme="majorHAnsi"/>
              </w:rPr>
            </w:pPr>
            <w:r w:rsidRPr="00666A10">
              <w:rPr>
                <w:rFonts w:asciiTheme="majorHAnsi" w:hAnsiTheme="majorHAnsi" w:cstheme="majorHAnsi"/>
              </w:rPr>
              <w:t>Ensure information is accessible in a range of formats</w:t>
            </w:r>
          </w:p>
        </w:tc>
        <w:tc>
          <w:tcPr>
            <w:tcW w:w="2156" w:type="dxa"/>
          </w:tcPr>
          <w:p w14:paraId="36E77404" w14:textId="77777777" w:rsidR="005B1732" w:rsidRPr="00666A10" w:rsidRDefault="00C62E7B">
            <w:pPr>
              <w:rPr>
                <w:rFonts w:asciiTheme="majorHAnsi" w:hAnsiTheme="majorHAnsi" w:cstheme="majorHAnsi"/>
              </w:rPr>
            </w:pPr>
            <w:r w:rsidRPr="00666A10">
              <w:rPr>
                <w:rFonts w:asciiTheme="majorHAnsi" w:hAnsiTheme="majorHAnsi" w:cstheme="majorHAnsi"/>
              </w:rPr>
              <w:t>- Provide materials in large print, audio, and digital formats</w:t>
            </w:r>
            <w:r w:rsidRPr="00666A10">
              <w:rPr>
                <w:rFonts w:asciiTheme="majorHAnsi" w:hAnsiTheme="majorHAnsi" w:cstheme="majorHAnsi"/>
              </w:rPr>
              <w:br/>
              <w:t>- Ensure website and digital platforms meet WCAG 2.2 standards</w:t>
            </w:r>
          </w:p>
        </w:tc>
        <w:tc>
          <w:tcPr>
            <w:tcW w:w="1033" w:type="dxa"/>
          </w:tcPr>
          <w:p w14:paraId="685A93D8" w14:textId="77777777" w:rsidR="005B1732" w:rsidRPr="00666A10" w:rsidRDefault="00C62E7B">
            <w:pPr>
              <w:rPr>
                <w:rFonts w:asciiTheme="majorHAnsi" w:hAnsiTheme="majorHAnsi" w:cstheme="majorHAnsi"/>
              </w:rPr>
            </w:pPr>
            <w:r w:rsidRPr="00666A10">
              <w:rPr>
                <w:rFonts w:asciiTheme="majorHAnsi" w:hAnsiTheme="majorHAnsi" w:cstheme="majorHAnsi"/>
              </w:rPr>
              <w:t>2025–2026</w:t>
            </w:r>
          </w:p>
        </w:tc>
        <w:tc>
          <w:tcPr>
            <w:tcW w:w="2357" w:type="dxa"/>
          </w:tcPr>
          <w:p w14:paraId="75E6AFDD" w14:textId="795D0D4F" w:rsidR="005B1732" w:rsidRPr="00666A10" w:rsidRDefault="00C62E7B">
            <w:pPr>
              <w:rPr>
                <w:rFonts w:asciiTheme="majorHAnsi" w:hAnsiTheme="majorHAnsi" w:cstheme="majorHAnsi"/>
              </w:rPr>
            </w:pPr>
            <w:r w:rsidRPr="00666A10">
              <w:rPr>
                <w:rFonts w:asciiTheme="majorHAnsi" w:hAnsiTheme="majorHAnsi" w:cstheme="majorHAnsi"/>
              </w:rPr>
              <w:t xml:space="preserve">Marketing &amp; IT </w:t>
            </w:r>
            <w:r w:rsidR="000208B3" w:rsidRPr="00666A10">
              <w:rPr>
                <w:rFonts w:asciiTheme="majorHAnsi" w:hAnsiTheme="majorHAnsi" w:cstheme="majorHAnsi"/>
              </w:rPr>
              <w:t>Team</w:t>
            </w:r>
          </w:p>
        </w:tc>
      </w:tr>
      <w:tr w:rsidR="00D46B97" w:rsidRPr="00666A10" w14:paraId="14732ACD" w14:textId="77777777" w:rsidTr="00753040">
        <w:tc>
          <w:tcPr>
            <w:tcW w:w="1399" w:type="dxa"/>
          </w:tcPr>
          <w:p w14:paraId="453F5ED0" w14:textId="77777777" w:rsidR="005B1732" w:rsidRPr="00666A10" w:rsidRDefault="00C62E7B">
            <w:pPr>
              <w:rPr>
                <w:rFonts w:asciiTheme="majorHAnsi" w:hAnsiTheme="majorHAnsi" w:cstheme="majorHAnsi"/>
              </w:rPr>
            </w:pPr>
            <w:r w:rsidRPr="00666A10">
              <w:rPr>
                <w:rFonts w:asciiTheme="majorHAnsi" w:hAnsiTheme="majorHAnsi" w:cstheme="majorHAnsi"/>
              </w:rPr>
              <w:t>Staff Training</w:t>
            </w:r>
          </w:p>
        </w:tc>
        <w:tc>
          <w:tcPr>
            <w:tcW w:w="1685" w:type="dxa"/>
          </w:tcPr>
          <w:p w14:paraId="2B252CD4" w14:textId="77777777" w:rsidR="005B1732" w:rsidRPr="00666A10" w:rsidRDefault="00C62E7B">
            <w:pPr>
              <w:rPr>
                <w:rFonts w:asciiTheme="majorHAnsi" w:hAnsiTheme="majorHAnsi" w:cstheme="majorHAnsi"/>
              </w:rPr>
            </w:pPr>
            <w:r w:rsidRPr="00666A10">
              <w:rPr>
                <w:rFonts w:asciiTheme="majorHAnsi" w:hAnsiTheme="majorHAnsi" w:cstheme="majorHAnsi"/>
              </w:rPr>
              <w:t>Build staff confidence in supporting students with additional needs</w:t>
            </w:r>
          </w:p>
        </w:tc>
        <w:tc>
          <w:tcPr>
            <w:tcW w:w="2156" w:type="dxa"/>
          </w:tcPr>
          <w:p w14:paraId="4C357DA2" w14:textId="77777777" w:rsidR="005B1732" w:rsidRPr="00666A10" w:rsidRDefault="00C62E7B">
            <w:pPr>
              <w:rPr>
                <w:rFonts w:asciiTheme="majorHAnsi" w:hAnsiTheme="majorHAnsi" w:cstheme="majorHAnsi"/>
              </w:rPr>
            </w:pPr>
            <w:r w:rsidRPr="00666A10">
              <w:rPr>
                <w:rFonts w:asciiTheme="majorHAnsi" w:hAnsiTheme="majorHAnsi" w:cstheme="majorHAnsi"/>
              </w:rPr>
              <w:t>- Deliver annual CPD on inclusive practice and reasonable adjustments</w:t>
            </w:r>
            <w:r w:rsidRPr="00666A10">
              <w:rPr>
                <w:rFonts w:asciiTheme="majorHAnsi" w:hAnsiTheme="majorHAnsi" w:cstheme="majorHAnsi"/>
              </w:rPr>
              <w:br/>
              <w:t>- Provide training on assistive technologies</w:t>
            </w:r>
          </w:p>
        </w:tc>
        <w:tc>
          <w:tcPr>
            <w:tcW w:w="1033" w:type="dxa"/>
          </w:tcPr>
          <w:p w14:paraId="3B2187AB" w14:textId="77777777" w:rsidR="005B1732" w:rsidRPr="00666A10" w:rsidRDefault="00C62E7B">
            <w:pPr>
              <w:rPr>
                <w:rFonts w:asciiTheme="majorHAnsi" w:hAnsiTheme="majorHAnsi" w:cstheme="majorHAnsi"/>
              </w:rPr>
            </w:pPr>
            <w:r w:rsidRPr="00666A10">
              <w:rPr>
                <w:rFonts w:asciiTheme="majorHAnsi" w:hAnsiTheme="majorHAnsi" w:cstheme="majorHAnsi"/>
              </w:rPr>
              <w:t>Annually</w:t>
            </w:r>
          </w:p>
        </w:tc>
        <w:tc>
          <w:tcPr>
            <w:tcW w:w="2357" w:type="dxa"/>
          </w:tcPr>
          <w:p w14:paraId="105E8078" w14:textId="02BDF618" w:rsidR="006A5C81" w:rsidRPr="00666A10" w:rsidRDefault="006A5C81">
            <w:pPr>
              <w:rPr>
                <w:rFonts w:asciiTheme="majorHAnsi" w:hAnsiTheme="majorHAnsi" w:cstheme="majorHAnsi"/>
              </w:rPr>
            </w:pPr>
            <w:r w:rsidRPr="00666A10">
              <w:rPr>
                <w:rFonts w:asciiTheme="majorHAnsi" w:hAnsiTheme="majorHAnsi" w:cstheme="majorHAnsi"/>
              </w:rPr>
              <w:t>Learning Support Manager</w:t>
            </w:r>
          </w:p>
        </w:tc>
      </w:tr>
      <w:tr w:rsidR="00D46B97" w:rsidRPr="00666A10" w14:paraId="260C7834" w14:textId="77777777" w:rsidTr="00753040">
        <w:tc>
          <w:tcPr>
            <w:tcW w:w="1399" w:type="dxa"/>
          </w:tcPr>
          <w:p w14:paraId="213DBE96" w14:textId="77777777" w:rsidR="005B1732" w:rsidRPr="00666A10" w:rsidRDefault="00C62E7B">
            <w:pPr>
              <w:rPr>
                <w:rFonts w:asciiTheme="majorHAnsi" w:hAnsiTheme="majorHAnsi" w:cstheme="majorHAnsi"/>
              </w:rPr>
            </w:pPr>
            <w:r w:rsidRPr="00666A10">
              <w:rPr>
                <w:rFonts w:asciiTheme="majorHAnsi" w:hAnsiTheme="majorHAnsi" w:cstheme="majorHAnsi"/>
              </w:rPr>
              <w:t>Student Voice</w:t>
            </w:r>
          </w:p>
        </w:tc>
        <w:tc>
          <w:tcPr>
            <w:tcW w:w="1685" w:type="dxa"/>
          </w:tcPr>
          <w:p w14:paraId="58C5383D" w14:textId="77777777" w:rsidR="005B1732" w:rsidRPr="00666A10" w:rsidRDefault="00C62E7B">
            <w:pPr>
              <w:rPr>
                <w:rFonts w:asciiTheme="majorHAnsi" w:hAnsiTheme="majorHAnsi" w:cstheme="majorHAnsi"/>
              </w:rPr>
            </w:pPr>
            <w:r w:rsidRPr="00666A10">
              <w:rPr>
                <w:rFonts w:asciiTheme="majorHAnsi" w:hAnsiTheme="majorHAnsi" w:cstheme="majorHAnsi"/>
              </w:rPr>
              <w:t>Involve students in shaping accessibility improvements</w:t>
            </w:r>
          </w:p>
        </w:tc>
        <w:tc>
          <w:tcPr>
            <w:tcW w:w="2156" w:type="dxa"/>
          </w:tcPr>
          <w:p w14:paraId="210B5B65" w14:textId="77777777" w:rsidR="005B1732" w:rsidRPr="00666A10" w:rsidRDefault="00C62E7B">
            <w:pPr>
              <w:rPr>
                <w:rFonts w:asciiTheme="majorHAnsi" w:hAnsiTheme="majorHAnsi" w:cstheme="majorHAnsi"/>
              </w:rPr>
            </w:pPr>
            <w:r w:rsidRPr="00666A10">
              <w:rPr>
                <w:rFonts w:asciiTheme="majorHAnsi" w:hAnsiTheme="majorHAnsi" w:cstheme="majorHAnsi"/>
              </w:rPr>
              <w:t>- Establish a student accessibility forum</w:t>
            </w:r>
            <w:r w:rsidRPr="00666A10">
              <w:rPr>
                <w:rFonts w:asciiTheme="majorHAnsi" w:hAnsiTheme="majorHAnsi" w:cstheme="majorHAnsi"/>
              </w:rPr>
              <w:br/>
              <w:t>- Conduct annual feedback surveys</w:t>
            </w:r>
          </w:p>
        </w:tc>
        <w:tc>
          <w:tcPr>
            <w:tcW w:w="1033" w:type="dxa"/>
          </w:tcPr>
          <w:p w14:paraId="4BBE065C" w14:textId="7A3A1F44" w:rsidR="005B1732" w:rsidRPr="00666A10" w:rsidRDefault="00C62E7B">
            <w:pPr>
              <w:rPr>
                <w:rFonts w:asciiTheme="majorHAnsi" w:hAnsiTheme="majorHAnsi" w:cstheme="majorHAnsi"/>
              </w:rPr>
            </w:pPr>
            <w:r w:rsidRPr="00666A10">
              <w:rPr>
                <w:rFonts w:asciiTheme="majorHAnsi" w:hAnsiTheme="majorHAnsi" w:cstheme="majorHAnsi"/>
              </w:rPr>
              <w:t>2025</w:t>
            </w:r>
            <w:r w:rsidR="0010481F">
              <w:rPr>
                <w:rFonts w:asciiTheme="majorHAnsi" w:hAnsiTheme="majorHAnsi" w:cstheme="majorHAnsi"/>
              </w:rPr>
              <w:t xml:space="preserve"> </w:t>
            </w:r>
            <w:r w:rsidRPr="00666A10">
              <w:rPr>
                <w:rFonts w:asciiTheme="majorHAnsi" w:hAnsiTheme="majorHAnsi" w:cstheme="majorHAnsi"/>
              </w:rPr>
              <w:t>–2026</w:t>
            </w:r>
          </w:p>
        </w:tc>
        <w:tc>
          <w:tcPr>
            <w:tcW w:w="2357" w:type="dxa"/>
          </w:tcPr>
          <w:p w14:paraId="3BFF2EEF" w14:textId="77777777" w:rsidR="005B1732" w:rsidRPr="00666A10" w:rsidRDefault="006A5C81">
            <w:pPr>
              <w:rPr>
                <w:rFonts w:asciiTheme="majorHAnsi" w:hAnsiTheme="majorHAnsi" w:cstheme="majorHAnsi"/>
              </w:rPr>
            </w:pPr>
            <w:r w:rsidRPr="00666A10">
              <w:rPr>
                <w:rFonts w:asciiTheme="majorHAnsi" w:hAnsiTheme="majorHAnsi" w:cstheme="majorHAnsi"/>
              </w:rPr>
              <w:t>Learning Support Manager</w:t>
            </w:r>
          </w:p>
          <w:p w14:paraId="5406DB00" w14:textId="52F9AD94" w:rsidR="006A5C81" w:rsidRPr="00666A10" w:rsidRDefault="006A5C81">
            <w:pPr>
              <w:rPr>
                <w:rFonts w:asciiTheme="majorHAnsi" w:hAnsiTheme="majorHAnsi" w:cstheme="majorHAnsi"/>
              </w:rPr>
            </w:pPr>
            <w:r w:rsidRPr="00666A10">
              <w:rPr>
                <w:rFonts w:asciiTheme="majorHAnsi" w:hAnsiTheme="majorHAnsi" w:cstheme="majorHAnsi"/>
              </w:rPr>
              <w:t>Mental Health and Wellbeing Lead</w:t>
            </w:r>
          </w:p>
        </w:tc>
      </w:tr>
    </w:tbl>
    <w:p w14:paraId="476C1744" w14:textId="77777777" w:rsidR="005B1732" w:rsidRPr="00666A10" w:rsidRDefault="00C62E7B">
      <w:pPr>
        <w:pStyle w:val="Heading1"/>
        <w:rPr>
          <w:rFonts w:cstheme="majorHAnsi"/>
          <w:color w:val="auto"/>
        </w:rPr>
      </w:pPr>
      <w:r w:rsidRPr="00666A10">
        <w:rPr>
          <w:rFonts w:cstheme="majorHAnsi"/>
          <w:color w:val="auto"/>
        </w:rPr>
        <w:t>6. Monitoring and Evaluation</w:t>
      </w:r>
    </w:p>
    <w:p w14:paraId="18C56445" w14:textId="608E9C10" w:rsidR="005B1732" w:rsidRPr="00666A10" w:rsidRDefault="00C62E7B">
      <w:pPr>
        <w:rPr>
          <w:rFonts w:asciiTheme="majorHAnsi" w:hAnsiTheme="majorHAnsi" w:cstheme="majorHAnsi"/>
        </w:rPr>
      </w:pPr>
      <w:r w:rsidRPr="00666A10">
        <w:rPr>
          <w:rFonts w:asciiTheme="majorHAnsi" w:hAnsiTheme="majorHAnsi" w:cstheme="majorHAnsi"/>
        </w:rPr>
        <w:t>The plan will be reviewed annually by the Senior</w:t>
      </w:r>
      <w:r w:rsidR="006A5C81" w:rsidRPr="00666A10">
        <w:rPr>
          <w:rFonts w:asciiTheme="majorHAnsi" w:hAnsiTheme="majorHAnsi" w:cstheme="majorHAnsi"/>
        </w:rPr>
        <w:t xml:space="preserve"> Management</w:t>
      </w:r>
      <w:r w:rsidRPr="00666A10">
        <w:rPr>
          <w:rFonts w:asciiTheme="majorHAnsi" w:hAnsiTheme="majorHAnsi" w:cstheme="majorHAnsi"/>
        </w:rPr>
        <w:t xml:space="preserve"> Team and the Governing Body. Progress will be reported in the College’s annual Equality and Diversity Report. Feedback from students, parents, and staff will inform future updates.</w:t>
      </w:r>
    </w:p>
    <w:p w14:paraId="67A4795D" w14:textId="77777777" w:rsidR="005B1732" w:rsidRPr="00666A10" w:rsidRDefault="00C62E7B">
      <w:pPr>
        <w:pStyle w:val="Heading1"/>
        <w:rPr>
          <w:rFonts w:cstheme="majorHAnsi"/>
          <w:color w:val="auto"/>
        </w:rPr>
      </w:pPr>
      <w:r w:rsidRPr="00666A10">
        <w:rPr>
          <w:rFonts w:cstheme="majorHAnsi"/>
          <w:color w:val="auto"/>
        </w:rPr>
        <w:t>7. Publication</w:t>
      </w:r>
    </w:p>
    <w:p w14:paraId="2BD0DDDF" w14:textId="77777777" w:rsidR="005B1732" w:rsidRPr="00666A10" w:rsidRDefault="00C62E7B">
      <w:pPr>
        <w:rPr>
          <w:rFonts w:asciiTheme="majorHAnsi" w:hAnsiTheme="majorHAnsi" w:cstheme="majorHAnsi"/>
        </w:rPr>
      </w:pPr>
      <w:r w:rsidRPr="00666A10">
        <w:rPr>
          <w:rFonts w:asciiTheme="majorHAnsi" w:hAnsiTheme="majorHAnsi" w:cstheme="majorHAnsi"/>
        </w:rPr>
        <w:t>This Accessibility Plan is available:</w:t>
      </w:r>
      <w:r w:rsidRPr="00666A10">
        <w:rPr>
          <w:rFonts w:asciiTheme="majorHAnsi" w:hAnsiTheme="majorHAnsi" w:cstheme="majorHAnsi"/>
        </w:rPr>
        <w:br/>
        <w:t>- On the College website</w:t>
      </w:r>
      <w:r w:rsidRPr="00666A10">
        <w:rPr>
          <w:rFonts w:asciiTheme="majorHAnsi" w:hAnsiTheme="majorHAnsi" w:cstheme="majorHAnsi"/>
        </w:rPr>
        <w:br/>
        <w:t>- In alternative formats upon request</w:t>
      </w:r>
      <w:r w:rsidRPr="00666A10">
        <w:rPr>
          <w:rFonts w:asciiTheme="majorHAnsi" w:hAnsiTheme="majorHAnsi" w:cstheme="majorHAnsi"/>
        </w:rPr>
        <w:br/>
        <w:t>- As part of the College’s Equality and Diversity documentation</w:t>
      </w:r>
    </w:p>
    <w:sectPr w:rsidR="005B1732" w:rsidRPr="00666A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5970264">
    <w:abstractNumId w:val="8"/>
  </w:num>
  <w:num w:numId="2" w16cid:durableId="398481169">
    <w:abstractNumId w:val="6"/>
  </w:num>
  <w:num w:numId="3" w16cid:durableId="2062753296">
    <w:abstractNumId w:val="5"/>
  </w:num>
  <w:num w:numId="4" w16cid:durableId="2019036627">
    <w:abstractNumId w:val="4"/>
  </w:num>
  <w:num w:numId="5" w16cid:durableId="655884403">
    <w:abstractNumId w:val="7"/>
  </w:num>
  <w:num w:numId="6" w16cid:durableId="1995526320">
    <w:abstractNumId w:val="3"/>
  </w:num>
  <w:num w:numId="7" w16cid:durableId="1173837622">
    <w:abstractNumId w:val="2"/>
  </w:num>
  <w:num w:numId="8" w16cid:durableId="239952348">
    <w:abstractNumId w:val="1"/>
  </w:num>
  <w:num w:numId="9" w16cid:durableId="60156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8B3"/>
    <w:rsid w:val="00034616"/>
    <w:rsid w:val="0006063C"/>
    <w:rsid w:val="000D79F1"/>
    <w:rsid w:val="000F6D15"/>
    <w:rsid w:val="0010481F"/>
    <w:rsid w:val="00133E28"/>
    <w:rsid w:val="0015074B"/>
    <w:rsid w:val="002338EC"/>
    <w:rsid w:val="002401D9"/>
    <w:rsid w:val="00264550"/>
    <w:rsid w:val="0029639D"/>
    <w:rsid w:val="002C6E76"/>
    <w:rsid w:val="00326F90"/>
    <w:rsid w:val="00372F50"/>
    <w:rsid w:val="00377FAF"/>
    <w:rsid w:val="0038288E"/>
    <w:rsid w:val="003B70A2"/>
    <w:rsid w:val="00472FB0"/>
    <w:rsid w:val="00584AE5"/>
    <w:rsid w:val="005B1732"/>
    <w:rsid w:val="005B4CA9"/>
    <w:rsid w:val="005C5AE6"/>
    <w:rsid w:val="00666A10"/>
    <w:rsid w:val="006A5C81"/>
    <w:rsid w:val="00753040"/>
    <w:rsid w:val="007674A7"/>
    <w:rsid w:val="007C12AE"/>
    <w:rsid w:val="008623B4"/>
    <w:rsid w:val="008E2E41"/>
    <w:rsid w:val="00932540"/>
    <w:rsid w:val="00955F92"/>
    <w:rsid w:val="0098614A"/>
    <w:rsid w:val="00A505EE"/>
    <w:rsid w:val="00AA1D8D"/>
    <w:rsid w:val="00B301A3"/>
    <w:rsid w:val="00B47730"/>
    <w:rsid w:val="00B66C69"/>
    <w:rsid w:val="00BA4852"/>
    <w:rsid w:val="00BB664F"/>
    <w:rsid w:val="00BB7482"/>
    <w:rsid w:val="00BC5552"/>
    <w:rsid w:val="00C406B0"/>
    <w:rsid w:val="00C62E7B"/>
    <w:rsid w:val="00C87FF7"/>
    <w:rsid w:val="00CB0664"/>
    <w:rsid w:val="00D34B29"/>
    <w:rsid w:val="00D46B97"/>
    <w:rsid w:val="00D95769"/>
    <w:rsid w:val="00DC5388"/>
    <w:rsid w:val="00E27C47"/>
    <w:rsid w:val="00F76F69"/>
    <w:rsid w:val="00FC4D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901673B-179A-40AA-B8D8-89D252FD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etadataBlock">
    <w:name w:val="Metadata Block"/>
    <w:basedOn w:val="NoSpacing"/>
    <w:link w:val="MetadataBlockChar"/>
    <w:qFormat/>
    <w:rsid w:val="003B70A2"/>
    <w:pPr>
      <w:spacing w:before="320" w:after="320"/>
      <w:contextualSpacing/>
    </w:pPr>
    <w:rPr>
      <w:rFonts w:asciiTheme="majorHAnsi" w:eastAsiaTheme="minorHAnsi" w:hAnsiTheme="majorHAnsi"/>
      <w:b/>
      <w:color w:val="58595B"/>
      <w:spacing w:val="-10"/>
      <w:sz w:val="32"/>
      <w:szCs w:val="32"/>
      <w:lang w:val="en-GB"/>
    </w:rPr>
  </w:style>
  <w:style w:type="character" w:customStyle="1" w:styleId="MetadataBlockChar">
    <w:name w:val="Metadata Block Char"/>
    <w:basedOn w:val="DefaultParagraphFont"/>
    <w:link w:val="MetadataBlock"/>
    <w:rsid w:val="003B70A2"/>
    <w:rPr>
      <w:rFonts w:asciiTheme="majorHAnsi" w:eastAsiaTheme="minorHAnsi" w:hAnsiTheme="majorHAnsi"/>
      <w:b/>
      <w:color w:val="58595B"/>
      <w:spacing w:val="-1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6" ma:contentTypeDescription="Create a new document." ma:contentTypeScope="" ma:versionID="4084a54981efee09e524072906f9ecac">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f5963a679b5399fb303e484c9f931608"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5A076-7074-4973-877A-C05AA0001F26}">
  <ds:schemaRefs>
    <ds:schemaRef ds:uri="705be7ea-a7c8-4087-b867-937a0a19120c"/>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8cb5aacc-7795-4212-9bb7-b06ac6a391ba"/>
    <ds:schemaRef ds:uri="http://purl.org/dc/dcmitype/"/>
  </ds:schemaRefs>
</ds:datastoreItem>
</file>

<file path=customXml/itemProps2.xml><?xml version="1.0" encoding="utf-8"?>
<ds:datastoreItem xmlns:ds="http://schemas.openxmlformats.org/officeDocument/2006/customXml" ds:itemID="{6716B014-F8AA-4E62-87C0-5E2B1B3E9322}">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9873227-726D-426D-971A-986CE70B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e7ea-a7c8-4087-b867-937a0a19120c"/>
    <ds:schemaRef ds:uri="8cb5aacc-7795-4212-9bb7-b06ac6a39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495</Words>
  <Characters>2868</Characters>
  <Application>Microsoft Office Word</Application>
  <DocSecurity>4</DocSecurity>
  <Lines>153</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Fielding</cp:lastModifiedBy>
  <cp:revision>24</cp:revision>
  <dcterms:created xsi:type="dcterms:W3CDTF">2025-08-20T17:56:00Z</dcterms:created>
  <dcterms:modified xsi:type="dcterms:W3CDTF">2025-10-20T10:34:00Z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